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1D98F">
      <w:pPr>
        <w:pStyle w:val="4"/>
        <w:jc w:val="center"/>
      </w:pPr>
      <w:r>
        <w:rPr>
          <w:sz w:val="22"/>
        </w:rPr>
        <w:t>Supplementary data</w:t>
      </w:r>
    </w:p>
    <w:p w14:paraId="1083FB73">
      <w:pPr>
        <w:rPr>
          <w:b/>
          <w:bCs/>
          <w:sz w:val="28"/>
          <w:szCs w:val="28"/>
        </w:rPr>
      </w:pPr>
      <w:r>
        <w:rPr>
          <w:b/>
          <w:bCs/>
          <w:szCs w:val="21"/>
        </w:rPr>
        <w:t>Table of Contents</w:t>
      </w:r>
    </w:p>
    <w:p w14:paraId="32521C9B">
      <w:pPr>
        <w:rPr>
          <w:sz w:val="24"/>
          <w:szCs w:val="24"/>
        </w:rPr>
      </w:pPr>
    </w:p>
    <w:p w14:paraId="132043A3">
      <w:pPr>
        <w:rPr>
          <w:sz w:val="24"/>
          <w:szCs w:val="24"/>
        </w:rPr>
      </w:pPr>
    </w:p>
    <w:p w14:paraId="57CF6D76">
      <w:pPr>
        <w:rPr>
          <w:sz w:val="24"/>
          <w:szCs w:val="24"/>
        </w:rPr>
      </w:pPr>
    </w:p>
    <w:p w14:paraId="0593D13A">
      <w:pPr>
        <w:rPr>
          <w:sz w:val="24"/>
          <w:szCs w:val="24"/>
        </w:rPr>
      </w:pPr>
    </w:p>
    <w:p w14:paraId="581A098D">
      <w:pPr>
        <w:ind w:firstLine="211" w:firstLineChars="100"/>
        <w:rPr>
          <w:rFonts w:hint="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Figures</w:t>
      </w:r>
    </w:p>
    <w:p w14:paraId="1F78E325">
      <w:pPr>
        <w:ind w:firstLine="211" w:firstLineChars="100"/>
        <w:rPr>
          <w:rFonts w:hint="eastAsia"/>
          <w:b/>
          <w:bCs/>
          <w:szCs w:val="21"/>
          <w:lang w:val="en-US" w:eastAsia="zh-CN"/>
        </w:rPr>
      </w:pPr>
    </w:p>
    <w:p w14:paraId="64A366BD">
      <w:pPr>
        <w:spacing w:line="480" w:lineRule="auto"/>
        <w:ind w:firstLine="1265" w:firstLineChars="60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b/>
          <w:bCs/>
          <w:szCs w:val="21"/>
        </w:rPr>
        <w:t xml:space="preserve">Supplementary </w:t>
      </w:r>
      <w:r>
        <w:rPr>
          <w:rFonts w:hint="eastAsia"/>
          <w:b/>
          <w:bCs/>
          <w:szCs w:val="21"/>
          <w:lang w:val="en-US" w:eastAsia="zh-CN"/>
        </w:rPr>
        <w:t>Figure</w:t>
      </w:r>
      <w:r>
        <w:rPr>
          <w:rFonts w:hint="eastAsia"/>
          <w:b/>
          <w:bCs/>
          <w:szCs w:val="21"/>
        </w:rPr>
        <w:t xml:space="preserve"> 1</w:t>
      </w:r>
      <w:r>
        <w:rPr>
          <w:szCs w:val="21"/>
        </w:rPr>
        <w:t xml:space="preserve">                             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>2</w:t>
      </w:r>
    </w:p>
    <w:p w14:paraId="4EBD616D">
      <w:pPr>
        <w:rPr>
          <w:sz w:val="24"/>
          <w:szCs w:val="24"/>
        </w:rPr>
      </w:pPr>
    </w:p>
    <w:p w14:paraId="1E76F8A8">
      <w:pPr>
        <w:rPr>
          <w:sz w:val="24"/>
          <w:szCs w:val="24"/>
        </w:rPr>
      </w:pPr>
    </w:p>
    <w:p w14:paraId="4BA734A0">
      <w:pPr>
        <w:ind w:firstLine="211" w:firstLineChars="100"/>
        <w:rPr>
          <w:b/>
          <w:bCs/>
          <w:sz w:val="24"/>
          <w:szCs w:val="24"/>
        </w:rPr>
      </w:pPr>
      <w:r>
        <w:rPr>
          <w:rFonts w:hint="eastAsia"/>
          <w:b/>
          <w:bCs/>
          <w:szCs w:val="21"/>
        </w:rPr>
        <w:t>Tables</w:t>
      </w:r>
    </w:p>
    <w:p w14:paraId="689ABDBB">
      <w:pPr>
        <w:rPr>
          <w:sz w:val="24"/>
          <w:szCs w:val="24"/>
        </w:rPr>
      </w:pPr>
    </w:p>
    <w:p w14:paraId="136DA672">
      <w:pPr>
        <w:spacing w:line="480" w:lineRule="auto"/>
        <w:ind w:firstLine="1265" w:firstLineChars="60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b/>
          <w:bCs/>
          <w:szCs w:val="21"/>
        </w:rPr>
        <w:t>Supplementary Table 1</w:t>
      </w:r>
      <w:r>
        <w:rPr>
          <w:szCs w:val="21"/>
        </w:rPr>
        <w:t xml:space="preserve">                               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>3</w:t>
      </w:r>
    </w:p>
    <w:p w14:paraId="70973263">
      <w:pPr>
        <w:spacing w:line="480" w:lineRule="auto"/>
        <w:ind w:firstLine="1265" w:firstLineChars="600"/>
        <w:jc w:val="left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b/>
          <w:bCs/>
          <w:szCs w:val="21"/>
        </w:rPr>
        <w:t>Supplementary Table 2</w:t>
      </w:r>
      <w:r>
        <w:rPr>
          <w:szCs w:val="21"/>
        </w:rPr>
        <w:t xml:space="preserve">                                  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>4</w:t>
      </w:r>
    </w:p>
    <w:p w14:paraId="63DC975B">
      <w:pPr>
        <w:spacing w:line="480" w:lineRule="auto"/>
        <w:ind w:firstLine="1265" w:firstLineChars="600"/>
        <w:rPr>
          <w:rFonts w:hint="eastAsia" w:eastAsia="宋体"/>
          <w:szCs w:val="21"/>
          <w:lang w:eastAsia="zh-CN"/>
        </w:rPr>
      </w:pPr>
      <w:r>
        <w:rPr>
          <w:rFonts w:hint="eastAsia"/>
          <w:b/>
          <w:bCs/>
          <w:szCs w:val="21"/>
        </w:rPr>
        <w:t>Supplementary Table 3</w:t>
      </w:r>
      <w:r>
        <w:rPr>
          <w:szCs w:val="21"/>
        </w:rPr>
        <w:t xml:space="preserve">                                  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>5</w:t>
      </w:r>
    </w:p>
    <w:p w14:paraId="30D32530">
      <w:pPr>
        <w:spacing w:line="480" w:lineRule="auto"/>
        <w:ind w:firstLine="1260" w:firstLineChars="600"/>
        <w:rPr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3B4E98">
      <w:pPr>
        <w:spacing w:line="288" w:lineRule="auto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bCs/>
          <w:szCs w:val="21"/>
        </w:rPr>
        <w:t xml:space="preserve">Supplementary </w:t>
      </w:r>
      <w:r>
        <w:rPr>
          <w:rFonts w:hint="eastAsia"/>
          <w:b/>
          <w:bCs/>
          <w:szCs w:val="21"/>
          <w:lang w:val="en-US" w:eastAsia="zh-CN"/>
        </w:rPr>
        <w:t>Figure</w:t>
      </w:r>
      <w:r>
        <w:rPr>
          <w:rFonts w:hint="eastAsia"/>
          <w:b/>
          <w:bCs/>
          <w:szCs w:val="21"/>
        </w:rPr>
        <w:t xml:space="preserve"> 1  </w:t>
      </w:r>
      <w:r>
        <w:rPr>
          <w:rFonts w:hint="eastAsia"/>
          <w:szCs w:val="21"/>
          <w:lang w:val="en-US" w:eastAsia="zh-CN"/>
        </w:rPr>
        <w:t>Filtrating f</w:t>
      </w:r>
      <w:r>
        <w:rPr>
          <w:rFonts w:hint="eastAsia"/>
          <w:szCs w:val="21"/>
        </w:rPr>
        <w:t xml:space="preserve">low chart of the study </w:t>
      </w:r>
      <w:r>
        <w:rPr>
          <w:rFonts w:hint="eastAsia"/>
          <w:szCs w:val="21"/>
          <w:lang w:val="en-US" w:eastAsia="zh-CN"/>
        </w:rPr>
        <w:t>population</w:t>
      </w:r>
    </w:p>
    <w:p w14:paraId="674DDBC3">
      <w:pPr>
        <w:spacing w:line="288" w:lineRule="auto"/>
        <w:rPr>
          <w:rFonts w:hint="eastAsia"/>
          <w:szCs w:val="21"/>
        </w:rPr>
      </w:pPr>
    </w:p>
    <w:p w14:paraId="4FE7A7C4">
      <w:pPr>
        <w:spacing w:line="288" w:lineRule="auto"/>
        <w:rPr>
          <w:rFonts w:hint="eastAsia" w:eastAsia="宋体"/>
          <w:szCs w:val="21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宋体"/>
          <w:szCs w:val="21"/>
          <w:lang w:eastAsia="zh-CN"/>
        </w:rPr>
        <w:drawing>
          <wp:inline distT="0" distB="0" distL="114300" distR="114300">
            <wp:extent cx="5269230" cy="5182870"/>
            <wp:effectExtent l="0" t="0" r="3810" b="13970"/>
            <wp:docPr id="2" name="图片 2" descr="补充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补充图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8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9A7D6">
      <w:pPr>
        <w:spacing w:line="288" w:lineRule="auto"/>
        <w:rPr>
          <w:sz w:val="24"/>
          <w:szCs w:val="24"/>
        </w:rPr>
      </w:pPr>
      <w:r>
        <w:rPr>
          <w:rFonts w:hint="eastAsia"/>
          <w:b/>
          <w:bCs/>
          <w:szCs w:val="21"/>
        </w:rPr>
        <w:t xml:space="preserve">Supplementary Table 1  </w:t>
      </w:r>
      <w:r>
        <w:rPr>
          <w:rFonts w:hint="eastAsia"/>
          <w:szCs w:val="21"/>
        </w:rPr>
        <w:t>ROC curve analysis of the GRACE score, AAR, ABG and Alb for MACEs</w:t>
      </w:r>
    </w:p>
    <w:p w14:paraId="5B58A86A">
      <w:pPr>
        <w:rPr>
          <w:color w:val="FF0000"/>
          <w:sz w:val="24"/>
          <w:szCs w:val="24"/>
        </w:rPr>
      </w:pPr>
    </w:p>
    <w:tbl>
      <w:tblPr>
        <w:tblStyle w:val="9"/>
        <w:tblpPr w:leftFromText="180" w:rightFromText="180" w:vertAnchor="page" w:horzAnchor="page" w:tblpX="1952" w:tblpY="2587"/>
        <w:tblOverlap w:val="never"/>
        <w:tblW w:w="7940" w:type="dxa"/>
        <w:tblInd w:w="0" w:type="dxa"/>
        <w:tblBorders>
          <w:top w:val="single" w:color="auto" w:sz="4" w:space="0"/>
          <w:left w:val="none" w:color="auto" w:sz="4" w:space="0"/>
          <w:bottom w:val="singl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696"/>
        <w:gridCol w:w="1659"/>
        <w:gridCol w:w="1404"/>
        <w:gridCol w:w="1363"/>
        <w:gridCol w:w="1330"/>
      </w:tblGrid>
      <w:tr w14:paraId="01ECF17B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41C505">
            <w:pPr>
              <w:jc w:val="center"/>
              <w:rPr>
                <w:szCs w:val="21"/>
                <w:lang w:bidi="ar"/>
              </w:rPr>
            </w:pPr>
            <w:bookmarkStart w:id="2" w:name="_GoBack"/>
            <w:bookmarkStart w:id="0" w:name="_Hlk95863732"/>
            <w:bookmarkStart w:id="1" w:name="_Hlk112518103"/>
            <w:r>
              <w:rPr>
                <w:szCs w:val="21"/>
                <w:lang w:bidi="ar"/>
              </w:rPr>
              <w:t>variable</w:t>
            </w:r>
            <w:bookmarkEnd w:id="0"/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D303AD7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AUC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E4E24D7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95% CI</w:t>
            </w: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6E84B09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specificity</w:t>
            </w: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89366B8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sensitivity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9D8817F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P value</w:t>
            </w:r>
          </w:p>
        </w:tc>
      </w:tr>
      <w:tr w14:paraId="2C2821E4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8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9F8B766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AAR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5A0BB58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.665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23FF01F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.619-0.711</w:t>
            </w:r>
          </w:p>
        </w:tc>
        <w:tc>
          <w:tcPr>
            <w:tcW w:w="140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9EB7DE0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6</w:t>
            </w:r>
            <w:r>
              <w:rPr>
                <w:szCs w:val="21"/>
                <w:lang w:bidi="ar"/>
              </w:rPr>
              <w:t>5.43</w:t>
            </w: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A48BF16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6</w:t>
            </w:r>
            <w:r>
              <w:rPr>
                <w:szCs w:val="21"/>
                <w:lang w:bidi="ar"/>
              </w:rPr>
              <w:t>1.90</w:t>
            </w:r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3D7781F">
            <w:pPr>
              <w:jc w:val="center"/>
              <w:rPr>
                <w:color w:val="FF0000"/>
                <w:szCs w:val="21"/>
                <w:highlight w:val="yellow"/>
                <w:lang w:bidi="ar"/>
              </w:rPr>
            </w:pPr>
            <w:r>
              <w:rPr>
                <w:rFonts w:hint="eastAsia"/>
                <w:color w:val="FF0000"/>
                <w:szCs w:val="21"/>
                <w:highlight w:val="yellow"/>
                <w:lang w:bidi="ar"/>
              </w:rPr>
              <w:t>&lt; 0.001</w:t>
            </w:r>
          </w:p>
        </w:tc>
      </w:tr>
      <w:tr w14:paraId="4343FD7E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AA8FF92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GRACE score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6061526A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.717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14:paraId="10A38633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.673-0.761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6C601643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6</w:t>
            </w:r>
            <w:r>
              <w:rPr>
                <w:szCs w:val="21"/>
                <w:lang w:bidi="ar"/>
              </w:rPr>
              <w:t>7.14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3D42E9F9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6</w:t>
            </w:r>
            <w:r>
              <w:rPr>
                <w:szCs w:val="21"/>
                <w:lang w:bidi="ar"/>
              </w:rPr>
              <w:t>5.31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4B16C302">
            <w:pPr>
              <w:jc w:val="center"/>
              <w:rPr>
                <w:color w:val="FF0000"/>
                <w:szCs w:val="21"/>
                <w:highlight w:val="yellow"/>
                <w:lang w:bidi="ar"/>
              </w:rPr>
            </w:pPr>
            <w:r>
              <w:rPr>
                <w:rFonts w:hint="eastAsia"/>
                <w:color w:val="FF0000"/>
                <w:szCs w:val="21"/>
                <w:highlight w:val="yellow"/>
                <w:lang w:bidi="ar"/>
              </w:rPr>
              <w:t>&lt; 0.001</w:t>
            </w:r>
          </w:p>
        </w:tc>
      </w:tr>
      <w:tr w14:paraId="13861C66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260957B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ABG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6E5346D4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.626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</w:tcPr>
          <w:p w14:paraId="0BD1273C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.577-0.675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71DAD1C8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6</w:t>
            </w:r>
            <w:r>
              <w:rPr>
                <w:szCs w:val="21"/>
                <w:lang w:bidi="ar"/>
              </w:rPr>
              <w:t>6.69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2AECD34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5</w:t>
            </w:r>
            <w:r>
              <w:rPr>
                <w:szCs w:val="21"/>
                <w:lang w:bidi="ar"/>
              </w:rPr>
              <w:t>5.10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703454B">
            <w:pPr>
              <w:jc w:val="center"/>
              <w:rPr>
                <w:color w:val="FF0000"/>
                <w:szCs w:val="21"/>
                <w:highlight w:val="yellow"/>
                <w:lang w:bidi="ar"/>
              </w:rPr>
            </w:pPr>
            <w:r>
              <w:rPr>
                <w:rFonts w:hint="eastAsia"/>
                <w:color w:val="FF0000"/>
                <w:szCs w:val="21"/>
                <w:highlight w:val="yellow"/>
                <w:lang w:bidi="ar"/>
              </w:rPr>
              <w:t>&lt; 0.001</w:t>
            </w:r>
          </w:p>
        </w:tc>
      </w:tr>
      <w:tr w14:paraId="2DC2E135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AFC39D7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Alb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943BD34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.645</w:t>
            </w:r>
          </w:p>
        </w:tc>
        <w:tc>
          <w:tcPr>
            <w:tcW w:w="16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6BE5467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0</w:t>
            </w:r>
            <w:r>
              <w:rPr>
                <w:szCs w:val="21"/>
                <w:lang w:bidi="ar"/>
              </w:rPr>
              <w:t>.597-0.694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EB8A519">
            <w:pPr>
              <w:jc w:val="center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6</w:t>
            </w:r>
            <w:r>
              <w:rPr>
                <w:szCs w:val="21"/>
                <w:lang w:bidi="ar"/>
              </w:rPr>
              <w:t>7.28</w:t>
            </w:r>
          </w:p>
        </w:tc>
        <w:tc>
          <w:tcPr>
            <w:tcW w:w="136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CA273F8">
            <w:pPr>
              <w:jc w:val="center"/>
              <w:rPr>
                <w:color w:val="FF0000"/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5</w:t>
            </w:r>
            <w:r>
              <w:rPr>
                <w:szCs w:val="21"/>
                <w:lang w:bidi="ar"/>
              </w:rPr>
              <w:t>5.78</w:t>
            </w:r>
          </w:p>
        </w:tc>
        <w:tc>
          <w:tcPr>
            <w:tcW w:w="133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F47BA4C">
            <w:pPr>
              <w:jc w:val="center"/>
              <w:rPr>
                <w:color w:val="FF0000"/>
                <w:szCs w:val="21"/>
                <w:highlight w:val="yellow"/>
                <w:lang w:bidi="ar"/>
              </w:rPr>
            </w:pPr>
            <w:r>
              <w:rPr>
                <w:rFonts w:hint="eastAsia"/>
                <w:color w:val="FF0000"/>
                <w:szCs w:val="21"/>
                <w:highlight w:val="yellow"/>
                <w:lang w:bidi="ar"/>
              </w:rPr>
              <w:t>&lt; 0.001</w:t>
            </w:r>
          </w:p>
        </w:tc>
      </w:tr>
      <w:bookmarkEnd w:id="2"/>
      <w:bookmarkEnd w:id="1"/>
    </w:tbl>
    <w:p w14:paraId="284681CD">
      <w:pPr>
        <w:spacing w:line="288" w:lineRule="auto"/>
        <w:jc w:val="left"/>
        <w:rPr>
          <w:szCs w:val="21"/>
        </w:rPr>
      </w:pPr>
      <w:r>
        <w:rPr>
          <w:szCs w:val="21"/>
        </w:rPr>
        <w:t xml:space="preserve">The AUROCs of the GRACE score, AAR, stress hyperglycemia ratio (ABG) and Alb for predicting MACEs were 0.717 (95% CI: 0.673–0.761, </w:t>
      </w:r>
      <w:r>
        <w:rPr>
          <w:szCs w:val="21"/>
          <w:highlight w:val="yellow"/>
        </w:rPr>
        <w:t>P&lt; 0.0</w:t>
      </w:r>
      <w:r>
        <w:rPr>
          <w:rFonts w:hint="eastAsia"/>
          <w:szCs w:val="21"/>
          <w:highlight w:val="yellow"/>
          <w:lang w:val="en-US" w:eastAsia="zh-CN"/>
        </w:rPr>
        <w:t>0</w:t>
      </w:r>
      <w:r>
        <w:rPr>
          <w:szCs w:val="21"/>
          <w:highlight w:val="yellow"/>
        </w:rPr>
        <w:t>1</w:t>
      </w:r>
      <w:r>
        <w:rPr>
          <w:szCs w:val="21"/>
        </w:rPr>
        <w:t xml:space="preserve">), 0.665 (95% CI: 0.619–0.711, </w:t>
      </w:r>
      <w:r>
        <w:rPr>
          <w:szCs w:val="21"/>
          <w:highlight w:val="yellow"/>
        </w:rPr>
        <w:t>P&lt; 0.0</w:t>
      </w:r>
      <w:r>
        <w:rPr>
          <w:rFonts w:hint="eastAsia"/>
          <w:szCs w:val="21"/>
          <w:highlight w:val="yellow"/>
          <w:lang w:val="en-US" w:eastAsia="zh-CN"/>
        </w:rPr>
        <w:t>0</w:t>
      </w:r>
      <w:r>
        <w:rPr>
          <w:szCs w:val="21"/>
          <w:highlight w:val="yellow"/>
        </w:rPr>
        <w:t>1</w:t>
      </w:r>
      <w:r>
        <w:rPr>
          <w:szCs w:val="21"/>
        </w:rPr>
        <w:t xml:space="preserve">), 0.626 (95% CI: 0.577–0.675, </w:t>
      </w:r>
      <w:r>
        <w:rPr>
          <w:szCs w:val="21"/>
          <w:highlight w:val="yellow"/>
        </w:rPr>
        <w:t>P&lt; 0.0</w:t>
      </w:r>
      <w:r>
        <w:rPr>
          <w:rFonts w:hint="eastAsia"/>
          <w:szCs w:val="21"/>
          <w:highlight w:val="yellow"/>
          <w:lang w:val="en-US" w:eastAsia="zh-CN"/>
        </w:rPr>
        <w:t>0</w:t>
      </w:r>
      <w:r>
        <w:rPr>
          <w:szCs w:val="21"/>
          <w:highlight w:val="yellow"/>
        </w:rPr>
        <w:t>1</w:t>
      </w:r>
      <w:r>
        <w:rPr>
          <w:szCs w:val="21"/>
        </w:rPr>
        <w:t xml:space="preserve">), and 0.645 (95% CI: 0.597–0.694, </w:t>
      </w:r>
      <w:r>
        <w:rPr>
          <w:szCs w:val="21"/>
          <w:highlight w:val="yellow"/>
        </w:rPr>
        <w:t>P&lt; 0.0</w:t>
      </w:r>
      <w:r>
        <w:rPr>
          <w:rFonts w:hint="eastAsia"/>
          <w:szCs w:val="21"/>
          <w:highlight w:val="yellow"/>
          <w:lang w:val="en-US" w:eastAsia="zh-CN"/>
        </w:rPr>
        <w:t>0</w:t>
      </w:r>
      <w:r>
        <w:rPr>
          <w:szCs w:val="21"/>
          <w:highlight w:val="yellow"/>
        </w:rPr>
        <w:t>1</w:t>
      </w:r>
      <w:r>
        <w:rPr>
          <w:szCs w:val="21"/>
        </w:rPr>
        <w:t>)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AAR, admission-blood-glucose-to-albumin ratio; GRACE score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The Global Registry of Acute Coronary Events score; ABG, admission blood glucose; Alb</w:t>
      </w:r>
      <w:r>
        <w:rPr>
          <w:rFonts w:hint="eastAsia"/>
          <w:szCs w:val="21"/>
        </w:rPr>
        <w:t>, albumin.</w:t>
      </w:r>
    </w:p>
    <w:p w14:paraId="33EE5D41">
      <w:pPr>
        <w:jc w:val="left"/>
        <w:rPr>
          <w:szCs w:val="21"/>
          <w:lang w:bidi="ar"/>
        </w:rPr>
      </w:pPr>
    </w:p>
    <w:p w14:paraId="5A7C60E7"/>
    <w:p w14:paraId="709E5309"/>
    <w:p w14:paraId="04E4674D"/>
    <w:p w14:paraId="68BE7879">
      <w:pPr>
        <w:ind w:firstLine="211"/>
        <w:jc w:val="left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AF5A57C">
      <w:pPr>
        <w:jc w:val="left"/>
        <w:rPr>
          <w:b/>
          <w:bCs/>
          <w:sz w:val="24"/>
          <w:szCs w:val="24"/>
        </w:rPr>
      </w:pPr>
    </w:p>
    <w:p w14:paraId="1CDA6BBA">
      <w:pPr>
        <w:spacing w:line="288" w:lineRule="auto"/>
        <w:jc w:val="left"/>
        <w:rPr>
          <w:sz w:val="24"/>
          <w:szCs w:val="24"/>
        </w:rPr>
      </w:pPr>
      <w:r>
        <w:rPr>
          <w:rFonts w:hint="eastAsia"/>
          <w:b/>
          <w:bCs/>
          <w:szCs w:val="21"/>
        </w:rPr>
        <w:t>Supplementary Table 2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szCs w:val="21"/>
        </w:rPr>
        <w:t>The differences between the ROC curves of AAR, ABG, and Alb</w:t>
      </w:r>
    </w:p>
    <w:p w14:paraId="026384B5">
      <w:pPr>
        <w:ind w:firstLine="211"/>
        <w:jc w:val="left"/>
      </w:pPr>
    </w:p>
    <w:tbl>
      <w:tblPr>
        <w:tblStyle w:val="9"/>
        <w:tblpPr w:leftFromText="180" w:rightFromText="180" w:vertAnchor="text" w:horzAnchor="page" w:tblpX="1916" w:tblpY="114"/>
        <w:tblOverlap w:val="never"/>
        <w:tblW w:w="0" w:type="auto"/>
        <w:tblInd w:w="0" w:type="dxa"/>
        <w:tblBorders>
          <w:top w:val="single" w:color="auto" w:sz="4" w:space="0"/>
          <w:left w:val="none" w:color="auto" w:sz="4" w:space="0"/>
          <w:bottom w:val="singl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3"/>
        <w:gridCol w:w="222"/>
        <w:gridCol w:w="794"/>
        <w:gridCol w:w="1710"/>
        <w:gridCol w:w="1004"/>
        <w:gridCol w:w="960"/>
      </w:tblGrid>
      <w:tr w14:paraId="23717445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EE6C7D4">
            <w:pPr>
              <w:jc w:val="center"/>
              <w:rPr>
                <w:szCs w:val="21"/>
              </w:rPr>
            </w:pPr>
          </w:p>
        </w:tc>
        <w:tc>
          <w:tcPr>
            <w:tcW w:w="22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68CF313">
            <w:pPr>
              <w:jc w:val="center"/>
              <w:rPr>
                <w:szCs w:val="21"/>
                <w:lang w:bidi="ar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855EF53">
            <w:pPr>
              <w:jc w:val="center"/>
              <w:rPr>
                <w:szCs w:val="21"/>
                <w:lang w:bidi="ar"/>
              </w:rPr>
            </w:pPr>
            <w:r>
              <w:rPr>
                <w:b/>
                <w:bCs/>
              </w:rPr>
              <w:t>Δ</w:t>
            </w:r>
            <w:r>
              <w:rPr>
                <w:szCs w:val="21"/>
                <w:lang w:bidi="ar"/>
              </w:rPr>
              <w:t>AUC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3CB31AB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95% CI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53D6A40">
            <w:pPr>
              <w:jc w:val="center"/>
              <w:rPr>
                <w:szCs w:val="21"/>
                <w:lang w:bidi="ar"/>
              </w:rPr>
            </w:pPr>
            <w:r>
              <w:rPr>
                <w:rStyle w:val="11"/>
                <w:rFonts w:ascii="Times New Roman" w:hAnsi="Times New Roman" w:cs="Times New Roman"/>
                <w:color w:val="auto"/>
                <w:sz w:val="21"/>
                <w:szCs w:val="21"/>
              </w:rPr>
              <w:t>z statistic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220047">
            <w:pPr>
              <w:jc w:val="center"/>
              <w:rPr>
                <w:szCs w:val="21"/>
                <w:lang w:bidi="ar"/>
              </w:rPr>
            </w:pPr>
            <w:r>
              <w:rPr>
                <w:szCs w:val="21"/>
                <w:lang w:bidi="ar"/>
              </w:rPr>
              <w:t>P value</w:t>
            </w:r>
          </w:p>
        </w:tc>
      </w:tr>
      <w:tr w14:paraId="4C725394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8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28631B0">
            <w:pPr>
              <w:rPr>
                <w:szCs w:val="21"/>
              </w:rPr>
            </w:pPr>
            <w:r>
              <w:rPr>
                <w:szCs w:val="21"/>
              </w:rPr>
              <w:t>AAR vs ABG</w:t>
            </w:r>
          </w:p>
        </w:tc>
        <w:tc>
          <w:tcPr>
            <w:tcW w:w="22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12D16BE">
            <w:pPr>
              <w:jc w:val="center"/>
              <w:rPr>
                <w:szCs w:val="21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9CE166B">
            <w:pPr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Style w:val="12"/>
                <w:color w:val="auto"/>
                <w:highlight w:val="yellow"/>
              </w:rPr>
              <w:t>0.0</w:t>
            </w:r>
            <w:r>
              <w:rPr>
                <w:rStyle w:val="12"/>
                <w:rFonts w:hint="eastAsia"/>
                <w:color w:val="auto"/>
                <w:highlight w:val="yellow"/>
                <w:lang w:val="en-US" w:eastAsia="zh-CN"/>
              </w:rPr>
              <w:t>40</w:t>
            </w:r>
          </w:p>
        </w:tc>
        <w:tc>
          <w:tcPr>
            <w:tcW w:w="171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23EE4D5">
            <w:pPr>
              <w:jc w:val="center"/>
              <w:rPr>
                <w:szCs w:val="21"/>
                <w:highlight w:val="yellow"/>
              </w:rPr>
            </w:pPr>
            <w:r>
              <w:rPr>
                <w:rStyle w:val="12"/>
                <w:color w:val="auto"/>
                <w:highlight w:val="yellow"/>
              </w:rPr>
              <w:t>0.02</w:t>
            </w:r>
            <w:r>
              <w:rPr>
                <w:rStyle w:val="12"/>
                <w:rFonts w:hint="eastAsia"/>
                <w:color w:val="auto"/>
                <w:highlight w:val="yellow"/>
                <w:lang w:val="en-US" w:eastAsia="zh-CN"/>
              </w:rPr>
              <w:t>2</w:t>
            </w:r>
            <w:r>
              <w:rPr>
                <w:rStyle w:val="12"/>
                <w:color w:val="auto"/>
                <w:highlight w:val="yellow"/>
              </w:rPr>
              <w:t xml:space="preserve"> to 0.057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1DD9C24">
            <w:pPr>
              <w:jc w:val="center"/>
              <w:rPr>
                <w:szCs w:val="21"/>
              </w:rPr>
            </w:pPr>
            <w:r>
              <w:rPr>
                <w:rStyle w:val="12"/>
                <w:color w:val="auto"/>
              </w:rPr>
              <w:t>4.329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DBBE5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&lt; 0.001</w:t>
            </w:r>
          </w:p>
        </w:tc>
      </w:tr>
      <w:tr w14:paraId="082F8B90">
        <w:tblPrEx>
          <w:tblBorders>
            <w:top w:val="single" w:color="auto" w:sz="4" w:space="0"/>
            <w:left w:val="none" w:color="auto" w:sz="4" w:space="0"/>
            <w:bottom w:val="singl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8FD319A">
            <w:pPr>
              <w:rPr>
                <w:szCs w:val="21"/>
              </w:rPr>
            </w:pPr>
            <w:r>
              <w:rPr>
                <w:szCs w:val="21"/>
              </w:rPr>
              <w:t>AAR vs Alb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464BCD0">
            <w:pPr>
              <w:rPr>
                <w:szCs w:val="21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7AC1F34">
            <w:pPr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Style w:val="12"/>
                <w:color w:val="auto"/>
                <w:highlight w:val="yellow"/>
              </w:rPr>
              <w:t>0.0</w:t>
            </w:r>
            <w:r>
              <w:rPr>
                <w:rStyle w:val="12"/>
                <w:rFonts w:hint="eastAsia"/>
                <w:color w:val="auto"/>
                <w:highlight w:val="yellow"/>
                <w:lang w:val="en-US"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135C4BE">
            <w:pPr>
              <w:jc w:val="center"/>
              <w:rPr>
                <w:rFonts w:hint="eastAsia" w:eastAsia="宋体"/>
                <w:szCs w:val="21"/>
                <w:highlight w:val="yellow"/>
                <w:lang w:eastAsia="zh-CN"/>
              </w:rPr>
            </w:pPr>
            <w:r>
              <w:rPr>
                <w:rStyle w:val="12"/>
                <w:color w:val="auto"/>
                <w:highlight w:val="yellow"/>
              </w:rPr>
              <w:t>-0.03</w:t>
            </w:r>
            <w:r>
              <w:rPr>
                <w:rStyle w:val="12"/>
                <w:rFonts w:hint="eastAsia"/>
                <w:color w:val="auto"/>
                <w:highlight w:val="yellow"/>
                <w:lang w:val="en-US" w:eastAsia="zh-CN"/>
              </w:rPr>
              <w:t>6</w:t>
            </w:r>
            <w:r>
              <w:rPr>
                <w:rStyle w:val="12"/>
                <w:color w:val="auto"/>
                <w:highlight w:val="yellow"/>
              </w:rPr>
              <w:t xml:space="preserve"> to 0.07</w:t>
            </w:r>
            <w:r>
              <w:rPr>
                <w:rStyle w:val="12"/>
                <w:rFonts w:hint="eastAsia"/>
                <w:color w:val="auto"/>
                <w:highlight w:val="yellow"/>
                <w:lang w:val="en-US" w:eastAsia="zh-CN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6C95F00">
            <w:pPr>
              <w:jc w:val="center"/>
              <w:rPr>
                <w:szCs w:val="21"/>
              </w:rPr>
            </w:pPr>
            <w:r>
              <w:rPr>
                <w:rStyle w:val="12"/>
                <w:color w:val="auto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64E62C3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Style w:val="12"/>
                <w:color w:val="auto"/>
                <w:highlight w:val="yellow"/>
              </w:rPr>
              <w:t>0.48</w:t>
            </w:r>
            <w:r>
              <w:rPr>
                <w:rStyle w:val="12"/>
                <w:rFonts w:hint="eastAsia"/>
                <w:color w:val="auto"/>
                <w:highlight w:val="yellow"/>
                <w:lang w:val="en-US" w:eastAsia="zh-CN"/>
              </w:rPr>
              <w:t>3</w:t>
            </w:r>
          </w:p>
        </w:tc>
      </w:tr>
    </w:tbl>
    <w:p w14:paraId="2309DA0C">
      <w:pPr>
        <w:ind w:firstLine="211"/>
        <w:jc w:val="left"/>
      </w:pPr>
    </w:p>
    <w:p w14:paraId="4BFEC3D1"/>
    <w:p w14:paraId="07AB1161"/>
    <w:p w14:paraId="48C671A8"/>
    <w:p w14:paraId="00031573"/>
    <w:p w14:paraId="115A80F9">
      <w:pPr>
        <w:spacing w:line="288" w:lineRule="auto"/>
        <w:jc w:val="left"/>
      </w:pPr>
      <w:r>
        <w:rPr>
          <w:rFonts w:hint="eastAsia"/>
          <w:szCs w:val="21"/>
        </w:rPr>
        <w:t xml:space="preserve">Using </w:t>
      </w:r>
      <w:r>
        <w:rPr>
          <w:szCs w:val="21"/>
        </w:rPr>
        <w:t>‘</w:t>
      </w:r>
      <w:r>
        <w:rPr>
          <w:rFonts w:hint="eastAsia"/>
          <w:szCs w:val="21"/>
        </w:rPr>
        <w:t>roc.compare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to statistically compare the differences between the </w:t>
      </w:r>
      <w:r>
        <w:rPr>
          <w:szCs w:val="21"/>
        </w:rPr>
        <w:t>AUROC</w:t>
      </w:r>
      <w:r>
        <w:rPr>
          <w:rFonts w:hint="eastAsia"/>
          <w:szCs w:val="21"/>
        </w:rPr>
        <w:t xml:space="preserve"> of AAR, ABG, and Alb. </w:t>
      </w:r>
      <w:r>
        <w:rPr>
          <w:szCs w:val="21"/>
        </w:rPr>
        <w:t>The AUROC of the AAR was higher than that of ABG</w:t>
      </w:r>
      <w:r>
        <w:rPr>
          <w:rFonts w:hint="eastAsia"/>
          <w:szCs w:val="21"/>
        </w:rPr>
        <w:t xml:space="preserve">, </w:t>
      </w:r>
      <w:r>
        <w:rPr>
          <w:szCs w:val="21"/>
          <w:highlight w:val="yellow"/>
        </w:rPr>
        <w:t>P&lt; 0.0</w:t>
      </w:r>
      <w:r>
        <w:rPr>
          <w:rFonts w:hint="eastAsia"/>
          <w:szCs w:val="21"/>
          <w:highlight w:val="yellow"/>
          <w:lang w:val="en-US" w:eastAsia="zh-CN"/>
        </w:rPr>
        <w:t>0</w:t>
      </w:r>
      <w:r>
        <w:rPr>
          <w:szCs w:val="21"/>
          <w:highlight w:val="yellow"/>
        </w:rPr>
        <w:t>1</w:t>
      </w:r>
      <w:r>
        <w:rPr>
          <w:rFonts w:hint="eastAsia"/>
          <w:szCs w:val="21"/>
        </w:rPr>
        <w:t>.</w:t>
      </w:r>
      <w:r>
        <w:rPr>
          <w:szCs w:val="21"/>
        </w:rPr>
        <w:t xml:space="preserve"> </w:t>
      </w:r>
    </w:p>
    <w:p w14:paraId="581279AB">
      <w:pPr>
        <w:jc w:val="left"/>
      </w:pPr>
    </w:p>
    <w:p w14:paraId="1022F96D">
      <w:pPr>
        <w:jc w:val="left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07A439C">
      <w:pPr>
        <w:spacing w:line="288" w:lineRule="auto"/>
        <w:jc w:val="left"/>
        <w:rPr>
          <w:sz w:val="24"/>
        </w:rPr>
      </w:pPr>
      <w:r>
        <w:rPr>
          <w:rFonts w:hint="eastAsia"/>
          <w:b/>
          <w:bCs/>
          <w:szCs w:val="21"/>
        </w:rPr>
        <w:t xml:space="preserve">Supplementary Table 3  </w:t>
      </w:r>
      <w:r>
        <w:rPr>
          <w:szCs w:val="21"/>
        </w:rPr>
        <w:t xml:space="preserve">Investigating the association between the AAR and the prevalence of MACEs in different subgroups. </w:t>
      </w:r>
    </w:p>
    <w:tbl>
      <w:tblPr>
        <w:tblStyle w:val="9"/>
        <w:tblpPr w:leftFromText="180" w:rightFromText="180" w:vertAnchor="text" w:horzAnchor="page" w:tblpX="1780" w:tblpY="309"/>
        <w:tblOverlap w:val="never"/>
        <w:tblW w:w="0" w:type="auto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363"/>
        <w:gridCol w:w="1186"/>
        <w:gridCol w:w="1186"/>
        <w:gridCol w:w="2248"/>
        <w:gridCol w:w="912"/>
      </w:tblGrid>
      <w:tr w14:paraId="3455874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tcBorders>
              <w:bottom w:val="single" w:color="auto" w:sz="4" w:space="0"/>
            </w:tcBorders>
            <w:shd w:val="clear" w:color="auto" w:fill="auto"/>
          </w:tcPr>
          <w:p w14:paraId="79467EFD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Subgroup</w:t>
            </w:r>
          </w:p>
        </w:tc>
        <w:tc>
          <w:tcPr>
            <w:tcW w:w="1363" w:type="dxa"/>
            <w:tcBorders>
              <w:bottom w:val="single" w:color="auto" w:sz="4" w:space="0"/>
            </w:tcBorders>
            <w:shd w:val="clear" w:color="auto" w:fill="auto"/>
          </w:tcPr>
          <w:p w14:paraId="4D8821D8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No. of Patients</w:t>
            </w:r>
          </w:p>
        </w:tc>
        <w:tc>
          <w:tcPr>
            <w:tcW w:w="1186" w:type="dxa"/>
            <w:tcBorders>
              <w:bottom w:val="single" w:color="auto" w:sz="4" w:space="0"/>
            </w:tcBorders>
            <w:shd w:val="clear" w:color="auto" w:fill="auto"/>
          </w:tcPr>
          <w:p w14:paraId="0851D3A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MACEs</w:t>
            </w:r>
          </w:p>
        </w:tc>
        <w:tc>
          <w:tcPr>
            <w:tcW w:w="1186" w:type="dxa"/>
            <w:tcBorders>
              <w:bottom w:val="single" w:color="auto" w:sz="4" w:space="0"/>
            </w:tcBorders>
            <w:shd w:val="clear" w:color="auto" w:fill="auto"/>
          </w:tcPr>
          <w:p w14:paraId="631A7FF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No MACEs</w:t>
            </w:r>
          </w:p>
        </w:tc>
        <w:tc>
          <w:tcPr>
            <w:tcW w:w="2248" w:type="dxa"/>
            <w:tcBorders>
              <w:bottom w:val="single" w:color="auto" w:sz="4" w:space="0"/>
            </w:tcBorders>
            <w:shd w:val="clear" w:color="auto" w:fill="auto"/>
          </w:tcPr>
          <w:p w14:paraId="76D7EF9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HR(95%CI)</w:t>
            </w:r>
          </w:p>
        </w:tc>
        <w:tc>
          <w:tcPr>
            <w:tcW w:w="912" w:type="dxa"/>
            <w:tcBorders>
              <w:bottom w:val="single" w:color="auto" w:sz="4" w:space="0"/>
            </w:tcBorders>
            <w:shd w:val="clear" w:color="auto" w:fill="auto"/>
          </w:tcPr>
          <w:p w14:paraId="5AE72876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P value</w:t>
            </w:r>
          </w:p>
        </w:tc>
      </w:tr>
      <w:tr w14:paraId="7247852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tcBorders>
              <w:top w:val="single" w:color="auto" w:sz="4" w:space="0"/>
            </w:tcBorders>
            <w:shd w:val="clear" w:color="auto" w:fill="auto"/>
          </w:tcPr>
          <w:p w14:paraId="52A310E4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All patients</w:t>
            </w:r>
          </w:p>
        </w:tc>
        <w:tc>
          <w:tcPr>
            <w:tcW w:w="1363" w:type="dxa"/>
            <w:tcBorders>
              <w:top w:val="single" w:color="auto" w:sz="4" w:space="0"/>
            </w:tcBorders>
            <w:shd w:val="clear" w:color="auto" w:fill="auto"/>
          </w:tcPr>
          <w:p w14:paraId="7DDDF4D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1498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shd w:val="clear" w:color="auto" w:fill="auto"/>
          </w:tcPr>
          <w:p w14:paraId="60410722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147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shd w:val="clear" w:color="auto" w:fill="auto"/>
          </w:tcPr>
          <w:p w14:paraId="2B72213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1351</w:t>
            </w:r>
          </w:p>
        </w:tc>
        <w:tc>
          <w:tcPr>
            <w:tcW w:w="2248" w:type="dxa"/>
            <w:tcBorders>
              <w:top w:val="single" w:color="auto" w:sz="4" w:space="0"/>
            </w:tcBorders>
            <w:shd w:val="clear" w:color="auto" w:fill="auto"/>
          </w:tcPr>
          <w:p w14:paraId="3194405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1.145 (1.04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5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-1.25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tcBorders>
              <w:top w:val="single" w:color="auto" w:sz="4" w:space="0"/>
            </w:tcBorders>
            <w:shd w:val="clear" w:color="auto" w:fill="auto"/>
          </w:tcPr>
          <w:p w14:paraId="7EDB37F6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0.00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4</w:t>
            </w:r>
          </w:p>
        </w:tc>
      </w:tr>
      <w:tr w14:paraId="6CA9A03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tcBorders>
              <w:bottom w:val="nil"/>
            </w:tcBorders>
            <w:shd w:val="clear" w:color="auto" w:fill="auto"/>
          </w:tcPr>
          <w:p w14:paraId="2A4EADF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Age</w:t>
            </w: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B917B4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4FC0CED6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16652E34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2248" w:type="dxa"/>
            <w:tcBorders>
              <w:bottom w:val="nil"/>
            </w:tcBorders>
            <w:shd w:val="clear" w:color="auto" w:fill="auto"/>
          </w:tcPr>
          <w:p w14:paraId="60B624B7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912" w:type="dxa"/>
            <w:tcBorders>
              <w:bottom w:val="nil"/>
            </w:tcBorders>
            <w:shd w:val="clear" w:color="auto" w:fill="auto"/>
          </w:tcPr>
          <w:p w14:paraId="458254D4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</w:tr>
      <w:tr w14:paraId="5A9B0B8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</w:tcPr>
          <w:p w14:paraId="169DD1A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Age≥65years</w:t>
            </w: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B66926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918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14:paraId="3F40748E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115(12.5%)</w:t>
            </w: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14:paraId="1072C606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803(87.5%)</w:t>
            </w:r>
          </w:p>
        </w:tc>
        <w:tc>
          <w:tcPr>
            <w:tcW w:w="2248" w:type="dxa"/>
            <w:tcBorders>
              <w:top w:val="nil"/>
              <w:bottom w:val="nil"/>
            </w:tcBorders>
            <w:shd w:val="clear" w:color="auto" w:fill="auto"/>
          </w:tcPr>
          <w:p w14:paraId="3CCC741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1.20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3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(1.08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2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-1.33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</w:tcPr>
          <w:p w14:paraId="52C91EE7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0.00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1</w:t>
            </w:r>
          </w:p>
        </w:tc>
      </w:tr>
      <w:tr w14:paraId="3C83F51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tcBorders>
              <w:top w:val="nil"/>
            </w:tcBorders>
            <w:shd w:val="clear" w:color="auto" w:fill="auto"/>
          </w:tcPr>
          <w:p w14:paraId="7CF359F7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Age＜65years</w:t>
            </w:r>
          </w:p>
        </w:tc>
        <w:tc>
          <w:tcPr>
            <w:tcW w:w="1363" w:type="dxa"/>
            <w:tcBorders>
              <w:top w:val="nil"/>
            </w:tcBorders>
            <w:shd w:val="clear" w:color="auto" w:fill="auto"/>
          </w:tcPr>
          <w:p w14:paraId="023153E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580</w:t>
            </w:r>
          </w:p>
        </w:tc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5C18451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32(5.5%)</w:t>
            </w:r>
          </w:p>
        </w:tc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5A44502E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 xml:space="preserve">115(94.5%)  </w:t>
            </w:r>
          </w:p>
        </w:tc>
        <w:tc>
          <w:tcPr>
            <w:tcW w:w="2248" w:type="dxa"/>
            <w:tcBorders>
              <w:top w:val="nil"/>
            </w:tcBorders>
            <w:shd w:val="clear" w:color="auto" w:fill="auto"/>
          </w:tcPr>
          <w:p w14:paraId="7BC7B74E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0.92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7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(0.74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-1.14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9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tcBorders>
              <w:top w:val="nil"/>
            </w:tcBorders>
            <w:shd w:val="clear" w:color="auto" w:fill="auto"/>
          </w:tcPr>
          <w:p w14:paraId="7C912655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0.48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7</w:t>
            </w:r>
          </w:p>
        </w:tc>
      </w:tr>
      <w:tr w14:paraId="34F9977F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00CC8E1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Sex</w:t>
            </w:r>
          </w:p>
        </w:tc>
        <w:tc>
          <w:tcPr>
            <w:tcW w:w="1363" w:type="dxa"/>
            <w:shd w:val="clear" w:color="auto" w:fill="auto"/>
          </w:tcPr>
          <w:p w14:paraId="67BAD518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20018F3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6E784DE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2248" w:type="dxa"/>
            <w:shd w:val="clear" w:color="auto" w:fill="auto"/>
          </w:tcPr>
          <w:p w14:paraId="0305B10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C893B8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</w:tr>
      <w:tr w14:paraId="7698BD1C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377F6B6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Male</w:t>
            </w:r>
          </w:p>
        </w:tc>
        <w:tc>
          <w:tcPr>
            <w:tcW w:w="1363" w:type="dxa"/>
            <w:shd w:val="clear" w:color="auto" w:fill="auto"/>
          </w:tcPr>
          <w:p w14:paraId="0543274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1068</w:t>
            </w:r>
          </w:p>
        </w:tc>
        <w:tc>
          <w:tcPr>
            <w:tcW w:w="1186" w:type="dxa"/>
            <w:shd w:val="clear" w:color="auto" w:fill="auto"/>
          </w:tcPr>
          <w:p w14:paraId="2F52B3AD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94(8.8%)</w:t>
            </w:r>
          </w:p>
        </w:tc>
        <w:tc>
          <w:tcPr>
            <w:tcW w:w="1186" w:type="dxa"/>
            <w:shd w:val="clear" w:color="auto" w:fill="auto"/>
          </w:tcPr>
          <w:p w14:paraId="4F4C98B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974(91.2%)</w:t>
            </w:r>
          </w:p>
        </w:tc>
        <w:tc>
          <w:tcPr>
            <w:tcW w:w="2248" w:type="dxa"/>
            <w:shd w:val="clear" w:color="auto" w:fill="auto"/>
          </w:tcPr>
          <w:p w14:paraId="27E42FF8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1.15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4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(1.02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7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-1.29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1B35F4FC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0.01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7</w:t>
            </w:r>
          </w:p>
        </w:tc>
      </w:tr>
      <w:tr w14:paraId="27A1564C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33FC0B94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Female</w:t>
            </w:r>
          </w:p>
        </w:tc>
        <w:tc>
          <w:tcPr>
            <w:tcW w:w="1363" w:type="dxa"/>
            <w:shd w:val="clear" w:color="auto" w:fill="auto"/>
          </w:tcPr>
          <w:p w14:paraId="6A9515A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430</w:t>
            </w:r>
          </w:p>
        </w:tc>
        <w:tc>
          <w:tcPr>
            <w:tcW w:w="1186" w:type="dxa"/>
            <w:shd w:val="clear" w:color="auto" w:fill="auto"/>
          </w:tcPr>
          <w:p w14:paraId="3ADA52F7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53(12.3%)</w:t>
            </w:r>
          </w:p>
        </w:tc>
        <w:tc>
          <w:tcPr>
            <w:tcW w:w="1186" w:type="dxa"/>
            <w:shd w:val="clear" w:color="auto" w:fill="auto"/>
          </w:tcPr>
          <w:p w14:paraId="04D1EB5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377(87.7%)</w:t>
            </w:r>
          </w:p>
        </w:tc>
        <w:tc>
          <w:tcPr>
            <w:tcW w:w="2248" w:type="dxa"/>
            <w:shd w:val="clear" w:color="auto" w:fill="auto"/>
          </w:tcPr>
          <w:p w14:paraId="2EA43CD9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1.210 (1.04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1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-1.40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72081A6A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0.013</w:t>
            </w:r>
          </w:p>
        </w:tc>
      </w:tr>
      <w:tr w14:paraId="0462A978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4B6ECEB9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Smoking</w:t>
            </w:r>
          </w:p>
        </w:tc>
        <w:tc>
          <w:tcPr>
            <w:tcW w:w="1363" w:type="dxa"/>
            <w:shd w:val="clear" w:color="auto" w:fill="auto"/>
          </w:tcPr>
          <w:p w14:paraId="48B698B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6DF174C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202A5259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2248" w:type="dxa"/>
            <w:shd w:val="clear" w:color="auto" w:fill="auto"/>
          </w:tcPr>
          <w:p w14:paraId="1A3877D9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5CC57E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</w:tr>
      <w:tr w14:paraId="3021FFD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40E43EEA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Yes</w:t>
            </w:r>
          </w:p>
        </w:tc>
        <w:tc>
          <w:tcPr>
            <w:tcW w:w="1363" w:type="dxa"/>
            <w:shd w:val="clear" w:color="auto" w:fill="auto"/>
          </w:tcPr>
          <w:p w14:paraId="396643E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790</w:t>
            </w:r>
          </w:p>
        </w:tc>
        <w:tc>
          <w:tcPr>
            <w:tcW w:w="1186" w:type="dxa"/>
            <w:shd w:val="clear" w:color="auto" w:fill="auto"/>
          </w:tcPr>
          <w:p w14:paraId="78FA1759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68(8.6%)</w:t>
            </w:r>
          </w:p>
        </w:tc>
        <w:tc>
          <w:tcPr>
            <w:tcW w:w="1186" w:type="dxa"/>
            <w:shd w:val="clear" w:color="auto" w:fill="auto"/>
          </w:tcPr>
          <w:p w14:paraId="15B24E0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722(91.4%)</w:t>
            </w:r>
          </w:p>
        </w:tc>
        <w:tc>
          <w:tcPr>
            <w:tcW w:w="2248" w:type="dxa"/>
            <w:shd w:val="clear" w:color="auto" w:fill="auto"/>
          </w:tcPr>
          <w:p w14:paraId="4785C734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1.14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9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(0.99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5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-1.32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3B8F4E82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0.060</w:t>
            </w:r>
          </w:p>
        </w:tc>
      </w:tr>
      <w:tr w14:paraId="5B52B910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5F10952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No</w:t>
            </w:r>
          </w:p>
        </w:tc>
        <w:tc>
          <w:tcPr>
            <w:tcW w:w="1363" w:type="dxa"/>
            <w:shd w:val="clear" w:color="auto" w:fill="auto"/>
          </w:tcPr>
          <w:p w14:paraId="61760968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708</w:t>
            </w:r>
          </w:p>
        </w:tc>
        <w:tc>
          <w:tcPr>
            <w:tcW w:w="1186" w:type="dxa"/>
            <w:shd w:val="clear" w:color="auto" w:fill="auto"/>
          </w:tcPr>
          <w:p w14:paraId="3ECCAF12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79(11.2%)</w:t>
            </w:r>
          </w:p>
        </w:tc>
        <w:tc>
          <w:tcPr>
            <w:tcW w:w="1186" w:type="dxa"/>
            <w:shd w:val="clear" w:color="auto" w:fill="auto"/>
          </w:tcPr>
          <w:p w14:paraId="0CD6D8E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629(88.8%)</w:t>
            </w:r>
          </w:p>
        </w:tc>
        <w:tc>
          <w:tcPr>
            <w:tcW w:w="2248" w:type="dxa"/>
            <w:shd w:val="clear" w:color="auto" w:fill="auto"/>
          </w:tcPr>
          <w:p w14:paraId="44F18792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1.16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4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(1.03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2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-1.31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3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5A88C268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0.01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4</w:t>
            </w:r>
          </w:p>
        </w:tc>
      </w:tr>
      <w:tr w14:paraId="10192A9D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46544B0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Hypertension</w:t>
            </w:r>
          </w:p>
        </w:tc>
        <w:tc>
          <w:tcPr>
            <w:tcW w:w="1363" w:type="dxa"/>
            <w:shd w:val="clear" w:color="auto" w:fill="auto"/>
          </w:tcPr>
          <w:p w14:paraId="6A5C34CA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23A4183E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4D630CB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2248" w:type="dxa"/>
            <w:shd w:val="clear" w:color="auto" w:fill="auto"/>
          </w:tcPr>
          <w:p w14:paraId="2766776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C23868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</w:tr>
      <w:tr w14:paraId="33A0349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20E22D92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Yes</w:t>
            </w:r>
          </w:p>
        </w:tc>
        <w:tc>
          <w:tcPr>
            <w:tcW w:w="1363" w:type="dxa"/>
            <w:shd w:val="clear" w:color="auto" w:fill="auto"/>
          </w:tcPr>
          <w:p w14:paraId="45E0AA18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1027</w:t>
            </w:r>
          </w:p>
        </w:tc>
        <w:tc>
          <w:tcPr>
            <w:tcW w:w="1186" w:type="dxa"/>
            <w:shd w:val="clear" w:color="auto" w:fill="auto"/>
          </w:tcPr>
          <w:p w14:paraId="3E19AD78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110(10.7%)</w:t>
            </w:r>
          </w:p>
        </w:tc>
        <w:tc>
          <w:tcPr>
            <w:tcW w:w="1186" w:type="dxa"/>
            <w:shd w:val="clear" w:color="auto" w:fill="auto"/>
          </w:tcPr>
          <w:p w14:paraId="16E77B5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917(89.3%)</w:t>
            </w:r>
          </w:p>
        </w:tc>
        <w:tc>
          <w:tcPr>
            <w:tcW w:w="2248" w:type="dxa"/>
            <w:shd w:val="clear" w:color="auto" w:fill="auto"/>
          </w:tcPr>
          <w:p w14:paraId="35195AC9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1.184 (1.070-1.31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1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603B2D3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0.001</w:t>
            </w:r>
          </w:p>
        </w:tc>
      </w:tr>
      <w:tr w14:paraId="60811BA3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4C8A7B7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No</w:t>
            </w:r>
          </w:p>
        </w:tc>
        <w:tc>
          <w:tcPr>
            <w:tcW w:w="1363" w:type="dxa"/>
            <w:shd w:val="clear" w:color="auto" w:fill="auto"/>
          </w:tcPr>
          <w:p w14:paraId="792C4825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471</w:t>
            </w:r>
          </w:p>
        </w:tc>
        <w:tc>
          <w:tcPr>
            <w:tcW w:w="1186" w:type="dxa"/>
            <w:shd w:val="clear" w:color="auto" w:fill="auto"/>
          </w:tcPr>
          <w:p w14:paraId="287B8B6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37(7.9%)</w:t>
            </w:r>
          </w:p>
        </w:tc>
        <w:tc>
          <w:tcPr>
            <w:tcW w:w="1186" w:type="dxa"/>
            <w:shd w:val="clear" w:color="auto" w:fill="auto"/>
          </w:tcPr>
          <w:p w14:paraId="001F1A1E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434(92.1%)</w:t>
            </w:r>
          </w:p>
        </w:tc>
        <w:tc>
          <w:tcPr>
            <w:tcW w:w="2248" w:type="dxa"/>
            <w:shd w:val="clear" w:color="auto" w:fill="auto"/>
          </w:tcPr>
          <w:p w14:paraId="4549167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0.948 (0.760-1.182)</w:t>
            </w:r>
          </w:p>
        </w:tc>
        <w:tc>
          <w:tcPr>
            <w:tcW w:w="912" w:type="dxa"/>
            <w:shd w:val="clear" w:color="auto" w:fill="auto"/>
          </w:tcPr>
          <w:p w14:paraId="72F26118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0.63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6</w:t>
            </w:r>
          </w:p>
        </w:tc>
      </w:tr>
      <w:tr w14:paraId="6D7B35C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0B3C5A3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Diabetes mellitus</w:t>
            </w:r>
          </w:p>
        </w:tc>
        <w:tc>
          <w:tcPr>
            <w:tcW w:w="1363" w:type="dxa"/>
            <w:shd w:val="clear" w:color="auto" w:fill="auto"/>
          </w:tcPr>
          <w:p w14:paraId="320D2F8D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04BC365D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3F20BC5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2248" w:type="dxa"/>
            <w:shd w:val="clear" w:color="auto" w:fill="auto"/>
          </w:tcPr>
          <w:p w14:paraId="635C938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1B26256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</w:tr>
      <w:tr w14:paraId="1B94D82A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55398BF6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Yes</w:t>
            </w:r>
          </w:p>
        </w:tc>
        <w:tc>
          <w:tcPr>
            <w:tcW w:w="1363" w:type="dxa"/>
            <w:shd w:val="clear" w:color="auto" w:fill="auto"/>
          </w:tcPr>
          <w:p w14:paraId="3876885E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595</w:t>
            </w:r>
          </w:p>
        </w:tc>
        <w:tc>
          <w:tcPr>
            <w:tcW w:w="1186" w:type="dxa"/>
            <w:shd w:val="clear" w:color="auto" w:fill="auto"/>
          </w:tcPr>
          <w:p w14:paraId="5D952DD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74(12.4%)</w:t>
            </w:r>
          </w:p>
        </w:tc>
        <w:tc>
          <w:tcPr>
            <w:tcW w:w="1186" w:type="dxa"/>
            <w:shd w:val="clear" w:color="auto" w:fill="auto"/>
          </w:tcPr>
          <w:p w14:paraId="67FDB77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521(87.6%)</w:t>
            </w:r>
          </w:p>
        </w:tc>
        <w:tc>
          <w:tcPr>
            <w:tcW w:w="2248" w:type="dxa"/>
            <w:shd w:val="clear" w:color="auto" w:fill="auto"/>
          </w:tcPr>
          <w:p w14:paraId="6F8697A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1.06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7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(0.958-1.187)</w:t>
            </w:r>
          </w:p>
        </w:tc>
        <w:tc>
          <w:tcPr>
            <w:tcW w:w="912" w:type="dxa"/>
            <w:shd w:val="clear" w:color="auto" w:fill="auto"/>
          </w:tcPr>
          <w:p w14:paraId="6B2D2AF0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0.23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</w:p>
        </w:tc>
      </w:tr>
      <w:tr w14:paraId="650D8FB6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5E49D35A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No</w:t>
            </w:r>
          </w:p>
        </w:tc>
        <w:tc>
          <w:tcPr>
            <w:tcW w:w="1363" w:type="dxa"/>
            <w:shd w:val="clear" w:color="auto" w:fill="auto"/>
          </w:tcPr>
          <w:p w14:paraId="14C62E8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903</w:t>
            </w:r>
          </w:p>
        </w:tc>
        <w:tc>
          <w:tcPr>
            <w:tcW w:w="1186" w:type="dxa"/>
            <w:shd w:val="clear" w:color="auto" w:fill="auto"/>
          </w:tcPr>
          <w:p w14:paraId="0653FE2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73(8.1%)</w:t>
            </w:r>
          </w:p>
        </w:tc>
        <w:tc>
          <w:tcPr>
            <w:tcW w:w="1186" w:type="dxa"/>
            <w:shd w:val="clear" w:color="auto" w:fill="auto"/>
          </w:tcPr>
          <w:p w14:paraId="340F9CF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830(91.9%)</w:t>
            </w:r>
          </w:p>
        </w:tc>
        <w:tc>
          <w:tcPr>
            <w:tcW w:w="2248" w:type="dxa"/>
            <w:shd w:val="clear" w:color="auto" w:fill="auto"/>
          </w:tcPr>
          <w:p w14:paraId="1F9C63B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1.567 (1.294-1.89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8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1711890B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&lt;0.00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1</w:t>
            </w:r>
          </w:p>
        </w:tc>
      </w:tr>
      <w:tr w14:paraId="3AAFCF55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646C6B2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AMI</w:t>
            </w:r>
          </w:p>
        </w:tc>
        <w:tc>
          <w:tcPr>
            <w:tcW w:w="1363" w:type="dxa"/>
            <w:shd w:val="clear" w:color="auto" w:fill="auto"/>
          </w:tcPr>
          <w:p w14:paraId="106DCC9C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04320ED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1186" w:type="dxa"/>
            <w:shd w:val="clear" w:color="auto" w:fill="auto"/>
          </w:tcPr>
          <w:p w14:paraId="616A44D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</w:p>
        </w:tc>
        <w:tc>
          <w:tcPr>
            <w:tcW w:w="2248" w:type="dxa"/>
            <w:shd w:val="clear" w:color="auto" w:fill="auto"/>
          </w:tcPr>
          <w:p w14:paraId="1ED5732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4C4C0592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</w:p>
        </w:tc>
      </w:tr>
      <w:tr w14:paraId="092EC8A2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shd w:val="clear" w:color="auto" w:fill="auto"/>
          </w:tcPr>
          <w:p w14:paraId="59DF5EC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Yes</w:t>
            </w:r>
          </w:p>
        </w:tc>
        <w:tc>
          <w:tcPr>
            <w:tcW w:w="1363" w:type="dxa"/>
            <w:shd w:val="clear" w:color="auto" w:fill="auto"/>
          </w:tcPr>
          <w:p w14:paraId="33511D0A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773</w:t>
            </w:r>
          </w:p>
        </w:tc>
        <w:tc>
          <w:tcPr>
            <w:tcW w:w="1186" w:type="dxa"/>
            <w:shd w:val="clear" w:color="auto" w:fill="auto"/>
          </w:tcPr>
          <w:p w14:paraId="7F076091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93(12.0%)</w:t>
            </w:r>
          </w:p>
        </w:tc>
        <w:tc>
          <w:tcPr>
            <w:tcW w:w="1186" w:type="dxa"/>
            <w:shd w:val="clear" w:color="auto" w:fill="auto"/>
          </w:tcPr>
          <w:p w14:paraId="01B37AFD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680(88.0%)</w:t>
            </w:r>
          </w:p>
        </w:tc>
        <w:tc>
          <w:tcPr>
            <w:tcW w:w="2248" w:type="dxa"/>
            <w:shd w:val="clear" w:color="auto" w:fill="auto"/>
          </w:tcPr>
          <w:p w14:paraId="4D8D4520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1.183 (1.06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1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-1.3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20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shd w:val="clear" w:color="auto" w:fill="auto"/>
          </w:tcPr>
          <w:p w14:paraId="0A9B7094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0.00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3</w:t>
            </w:r>
          </w:p>
        </w:tc>
      </w:tr>
      <w:tr w14:paraId="07FDC06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7" w:type="dxa"/>
            <w:tcBorders>
              <w:bottom w:val="single" w:color="auto" w:sz="4" w:space="0"/>
            </w:tcBorders>
            <w:shd w:val="clear" w:color="auto" w:fill="auto"/>
          </w:tcPr>
          <w:p w14:paraId="3375D87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No</w:t>
            </w:r>
          </w:p>
        </w:tc>
        <w:tc>
          <w:tcPr>
            <w:tcW w:w="1363" w:type="dxa"/>
            <w:tcBorders>
              <w:bottom w:val="single" w:color="auto" w:sz="4" w:space="0"/>
            </w:tcBorders>
            <w:shd w:val="clear" w:color="auto" w:fill="auto"/>
          </w:tcPr>
          <w:p w14:paraId="7AF33C53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725</w:t>
            </w:r>
          </w:p>
        </w:tc>
        <w:tc>
          <w:tcPr>
            <w:tcW w:w="1186" w:type="dxa"/>
            <w:tcBorders>
              <w:bottom w:val="single" w:color="auto" w:sz="4" w:space="0"/>
            </w:tcBorders>
            <w:shd w:val="clear" w:color="auto" w:fill="auto"/>
          </w:tcPr>
          <w:p w14:paraId="01A9EA1B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54(8.4%)</w:t>
            </w:r>
          </w:p>
        </w:tc>
        <w:tc>
          <w:tcPr>
            <w:tcW w:w="1186" w:type="dxa"/>
            <w:tcBorders>
              <w:bottom w:val="single" w:color="auto" w:sz="4" w:space="0"/>
            </w:tcBorders>
            <w:shd w:val="clear" w:color="auto" w:fill="auto"/>
          </w:tcPr>
          <w:p w14:paraId="11794C27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</w:rPr>
            </w:pPr>
            <w:r>
              <w:rPr>
                <w:rFonts w:eastAsia="等线"/>
                <w:kern w:val="0"/>
                <w:sz w:val="15"/>
                <w:szCs w:val="15"/>
                <w:lang w:bidi="ar"/>
              </w:rPr>
              <w:t>671(92.6%)</w:t>
            </w:r>
          </w:p>
        </w:tc>
        <w:tc>
          <w:tcPr>
            <w:tcW w:w="2248" w:type="dxa"/>
            <w:tcBorders>
              <w:bottom w:val="single" w:color="auto" w:sz="4" w:space="0"/>
            </w:tcBorders>
            <w:shd w:val="clear" w:color="auto" w:fill="auto"/>
          </w:tcPr>
          <w:p w14:paraId="203B727F">
            <w:pPr>
              <w:pStyle w:val="8"/>
              <w:spacing w:beforeAutospacing="1" w:line="276" w:lineRule="auto"/>
              <w:rPr>
                <w:rFonts w:eastAsia="等线"/>
                <w:kern w:val="0"/>
                <w:sz w:val="15"/>
                <w:szCs w:val="15"/>
                <w:highlight w:val="yellow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1.13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4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 xml:space="preserve"> (0.943-1.36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5</w:t>
            </w: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)</w:t>
            </w:r>
          </w:p>
        </w:tc>
        <w:tc>
          <w:tcPr>
            <w:tcW w:w="912" w:type="dxa"/>
            <w:tcBorders>
              <w:bottom w:val="single" w:color="auto" w:sz="4" w:space="0"/>
            </w:tcBorders>
            <w:shd w:val="clear" w:color="auto" w:fill="auto"/>
          </w:tcPr>
          <w:p w14:paraId="46DE2C5E">
            <w:pPr>
              <w:pStyle w:val="8"/>
              <w:spacing w:beforeAutospacing="1" w:line="276" w:lineRule="auto"/>
              <w:rPr>
                <w:rFonts w:hint="eastAsia" w:eastAsia="等线"/>
                <w:kern w:val="0"/>
                <w:sz w:val="15"/>
                <w:szCs w:val="15"/>
                <w:highlight w:val="yellow"/>
                <w:lang w:eastAsia="zh-CN"/>
              </w:rPr>
            </w:pPr>
            <w:r>
              <w:rPr>
                <w:rFonts w:eastAsia="等线"/>
                <w:kern w:val="0"/>
                <w:sz w:val="15"/>
                <w:szCs w:val="15"/>
                <w:highlight w:val="yellow"/>
                <w:lang w:bidi="ar"/>
              </w:rPr>
              <w:t>0.18</w:t>
            </w:r>
            <w:r>
              <w:rPr>
                <w:rFonts w:hint="eastAsia" w:eastAsia="等线"/>
                <w:kern w:val="0"/>
                <w:sz w:val="15"/>
                <w:szCs w:val="15"/>
                <w:highlight w:val="yellow"/>
                <w:lang w:val="en-US" w:eastAsia="zh-CN" w:bidi="ar"/>
              </w:rPr>
              <w:t>2</w:t>
            </w:r>
          </w:p>
        </w:tc>
      </w:tr>
    </w:tbl>
    <w:p w14:paraId="52DEA9F8">
      <w:pPr>
        <w:jc w:val="left"/>
        <w:rPr>
          <w:sz w:val="24"/>
        </w:rPr>
      </w:pPr>
    </w:p>
    <w:p w14:paraId="05E0BCAF">
      <w:pPr>
        <w:spacing w:line="288" w:lineRule="auto"/>
        <w:rPr>
          <w:sz w:val="24"/>
          <w:shd w:val="clear" w:color="auto" w:fill="FFFFFF"/>
        </w:rPr>
      </w:pPr>
      <w:r>
        <w:rPr>
          <w:szCs w:val="21"/>
        </w:rPr>
        <w:t xml:space="preserve">The participants were regrouped according to age, sex, smoking, hypertension, diabetes, and AMI, to investigate the consistency of the predictive capability of AAR across diverse demographic cohorts. The </w:t>
      </w:r>
      <w:r>
        <w:rPr>
          <w:szCs w:val="21"/>
          <w:shd w:val="clear" w:color="auto" w:fill="FFFFFF"/>
        </w:rPr>
        <w:t>abbreviations as shown in Table 1.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3D506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11D79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11D79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FE11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004D6FEC"/>
    <w:rsid w:val="001E0E15"/>
    <w:rsid w:val="004D6FEC"/>
    <w:rsid w:val="00675688"/>
    <w:rsid w:val="00FC4E17"/>
    <w:rsid w:val="01B750D7"/>
    <w:rsid w:val="061E4F36"/>
    <w:rsid w:val="1B905AB5"/>
    <w:rsid w:val="1D6C77FD"/>
    <w:rsid w:val="2DB50DAD"/>
    <w:rsid w:val="350D3C34"/>
    <w:rsid w:val="46E37E0E"/>
    <w:rsid w:val="4A6E0EB3"/>
    <w:rsid w:val="4C043B43"/>
    <w:rsid w:val="4C1C4A6D"/>
    <w:rsid w:val="4D30057B"/>
    <w:rsid w:val="5DF27139"/>
    <w:rsid w:val="5DF748C4"/>
    <w:rsid w:val="61587AFF"/>
    <w:rsid w:val="66CF6936"/>
    <w:rsid w:val="725503A1"/>
    <w:rsid w:val="7642695D"/>
    <w:rsid w:val="7AA90690"/>
    <w:rsid w:val="7FBD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rPr>
      <w:sz w:val="24"/>
    </w:rPr>
  </w:style>
  <w:style w:type="character" w:customStyle="1" w:styleId="11">
    <w:name w:val="normal1"/>
    <w:qFormat/>
    <w:uiPriority w:val="0"/>
    <w:rPr>
      <w:rFonts w:hint="default" w:ascii="Arial" w:hAnsi="Arial" w:cs="Arial"/>
      <w:color w:val="000000"/>
      <w:sz w:val="20"/>
      <w:szCs w:val="20"/>
    </w:rPr>
  </w:style>
  <w:style w:type="character" w:customStyle="1" w:styleId="12">
    <w:name w:val="result"/>
    <w:qFormat/>
    <w:uiPriority w:val="0"/>
    <w:rPr>
      <w:color w:val="000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377</Words>
  <Characters>2194</Characters>
  <Lines>18</Lines>
  <Paragraphs>5</Paragraphs>
  <TotalTime>0</TotalTime>
  <ScaleCrop>false</ScaleCrop>
  <LinksUpToDate>false</LinksUpToDate>
  <CharactersWithSpaces>2588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2024-07-18T04:43:00Z</dcterms:created>
  <dc:creator>86187</dc:creator>
  <cp:lastModifiedBy>Layman</cp:lastModifiedBy>
  <dcterms:modified xsi:type="dcterms:W3CDTF">2024-12-05T14:51:33Z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7FC356EDB5A84C2C8DC29B7FD715E1EB_13</vt:lpwstr>
  </property>
</Properties>
</file>